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2550" w14:textId="77777777" w:rsidR="001D2B16" w:rsidRPr="001D2B16" w:rsidRDefault="001D2B16" w:rsidP="001D2B16">
      <w:pPr>
        <w:spacing w:line="288" w:lineRule="auto"/>
        <w:contextualSpacing/>
        <w:jc w:val="center"/>
        <w:rPr>
          <w:rFonts w:cs="Arial"/>
          <w:b/>
          <w:u w:val="single"/>
        </w:rPr>
      </w:pPr>
      <w:r w:rsidRPr="001D2B16">
        <w:rPr>
          <w:rFonts w:cs="Arial"/>
          <w:b/>
          <w:u w:val="single"/>
        </w:rPr>
        <w:t>Multicenter Assessment of the Pancreas in Type 1 Diabetes</w:t>
      </w:r>
    </w:p>
    <w:p w14:paraId="47D86FB0" w14:textId="77777777" w:rsidR="001D2B16" w:rsidRDefault="001D2B16" w:rsidP="00415313">
      <w:pPr>
        <w:spacing w:line="288" w:lineRule="auto"/>
        <w:contextualSpacing/>
        <w:jc w:val="both"/>
        <w:rPr>
          <w:rFonts w:cs="Arial"/>
        </w:rPr>
      </w:pPr>
    </w:p>
    <w:p w14:paraId="554195EB" w14:textId="77777777" w:rsidR="00415313" w:rsidRPr="002E2B6B" w:rsidRDefault="00415313" w:rsidP="00415313">
      <w:pPr>
        <w:spacing w:line="288" w:lineRule="auto"/>
        <w:contextualSpacing/>
        <w:jc w:val="both"/>
        <w:rPr>
          <w:rFonts w:cs="Arial"/>
        </w:rPr>
      </w:pPr>
      <w:r w:rsidRPr="00A87F01">
        <w:rPr>
          <w:rFonts w:cs="Arial"/>
          <w:b/>
        </w:rPr>
        <w:t>Inclusion Criteria</w:t>
      </w:r>
      <w:r w:rsidRPr="002E2B6B">
        <w:rPr>
          <w:rFonts w:cs="Arial"/>
        </w:rPr>
        <w:t>:</w:t>
      </w:r>
    </w:p>
    <w:p w14:paraId="50213030" w14:textId="77777777" w:rsidR="00415313" w:rsidRPr="002E2B6B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 w:rsidRPr="002E2B6B">
        <w:rPr>
          <w:rFonts w:cs="Arial"/>
        </w:rPr>
        <w:t xml:space="preserve">Subjects </w:t>
      </w:r>
      <w:r>
        <w:rPr>
          <w:rFonts w:cs="Arial"/>
        </w:rPr>
        <w:t xml:space="preserve">at least </w:t>
      </w:r>
      <w:r w:rsidRPr="002E2B6B">
        <w:rPr>
          <w:rFonts w:cs="Arial"/>
        </w:rPr>
        <w:t>8 years of age</w:t>
      </w:r>
    </w:p>
    <w:p w14:paraId="244276C8" w14:textId="77777777" w:rsidR="00415313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 w:rsidRPr="002E2B6B">
        <w:rPr>
          <w:rFonts w:cs="Arial"/>
        </w:rPr>
        <w:t xml:space="preserve">Subjects must be able to read and provide assent/informed written </w:t>
      </w:r>
      <w:proofErr w:type="gramStart"/>
      <w:r w:rsidRPr="002E2B6B">
        <w:rPr>
          <w:rFonts w:cs="Arial"/>
        </w:rPr>
        <w:t>consent</w:t>
      </w:r>
      <w:proofErr w:type="gramEnd"/>
    </w:p>
    <w:p w14:paraId="6782F12E" w14:textId="09312F9A" w:rsidR="00A87F01" w:rsidRDefault="00A87F01" w:rsidP="00B71E1F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 w:rsidRPr="002E2B6B">
        <w:rPr>
          <w:rFonts w:cs="Arial"/>
        </w:rPr>
        <w:t xml:space="preserve">Subjects </w:t>
      </w:r>
      <w:r w:rsidR="00B71E1F">
        <w:rPr>
          <w:rFonts w:cs="Arial"/>
        </w:rPr>
        <w:t xml:space="preserve">must have a body mass index (BMI) &lt; </w:t>
      </w:r>
      <w:proofErr w:type="gramStart"/>
      <w:r w:rsidR="00B71E1F">
        <w:rPr>
          <w:rFonts w:cs="Arial"/>
        </w:rPr>
        <w:t>40</w:t>
      </w:r>
      <w:proofErr w:type="gramEnd"/>
    </w:p>
    <w:p w14:paraId="62136F15" w14:textId="75383D19" w:rsidR="00B71E1F" w:rsidRPr="009D5215" w:rsidRDefault="00B71E1F" w:rsidP="00B71E1F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Subjects with T1D must have a BMI &lt; 90</w:t>
      </w:r>
      <w:r w:rsidRPr="00B71E1F">
        <w:rPr>
          <w:rFonts w:cs="Arial"/>
          <w:vertAlign w:val="superscript"/>
        </w:rPr>
        <w:t>th</w:t>
      </w:r>
      <w:r>
        <w:rPr>
          <w:rFonts w:cs="Arial"/>
        </w:rPr>
        <w:t xml:space="preserve"> percentile for their </w:t>
      </w:r>
      <w:proofErr w:type="gramStart"/>
      <w:r>
        <w:rPr>
          <w:rFonts w:cs="Arial"/>
        </w:rPr>
        <w:t>age</w:t>
      </w:r>
      <w:proofErr w:type="gramEnd"/>
    </w:p>
    <w:p w14:paraId="256B4FD3" w14:textId="77777777" w:rsidR="00415313" w:rsidRPr="002E2B6B" w:rsidRDefault="00415313" w:rsidP="00415313">
      <w:pPr>
        <w:spacing w:line="288" w:lineRule="auto"/>
        <w:contextualSpacing/>
        <w:jc w:val="both"/>
        <w:rPr>
          <w:rFonts w:cs="Arial"/>
        </w:rPr>
      </w:pPr>
    </w:p>
    <w:p w14:paraId="20E20A86" w14:textId="77777777" w:rsidR="00415313" w:rsidRPr="002E2B6B" w:rsidRDefault="00415313" w:rsidP="00415313">
      <w:pPr>
        <w:spacing w:line="288" w:lineRule="auto"/>
        <w:contextualSpacing/>
        <w:jc w:val="both"/>
        <w:rPr>
          <w:rFonts w:cs="Arial"/>
        </w:rPr>
      </w:pPr>
      <w:r w:rsidRPr="00A87F01">
        <w:rPr>
          <w:rFonts w:cs="Arial"/>
          <w:b/>
        </w:rPr>
        <w:t>Exclusion Criteria</w:t>
      </w:r>
      <w:r w:rsidRPr="002E2B6B">
        <w:rPr>
          <w:rFonts w:cs="Arial"/>
        </w:rPr>
        <w:t>:</w:t>
      </w:r>
    </w:p>
    <w:p w14:paraId="1ABA8B5A" w14:textId="098CDF4C" w:rsidR="00415313" w:rsidRPr="002E2B6B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 w:rsidRPr="002E2B6B">
        <w:rPr>
          <w:rFonts w:cs="Arial"/>
        </w:rPr>
        <w:t>Subjects with pancreatitis, cystic fibrosis, pancreatic adenocarcinoma, or neuroendocrine tumors</w:t>
      </w:r>
    </w:p>
    <w:p w14:paraId="0180B8EA" w14:textId="77777777" w:rsidR="00415313" w:rsidRPr="002E2B6B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 w:rsidRPr="002E2B6B">
        <w:rPr>
          <w:rFonts w:cs="Arial"/>
        </w:rPr>
        <w:t xml:space="preserve">Subjects who have any type of bioimplant activated by mechanical, electronic, or magnetic means because such devices may be displaced or </w:t>
      </w:r>
      <w:proofErr w:type="gramStart"/>
      <w:r w:rsidRPr="002E2B6B">
        <w:rPr>
          <w:rFonts w:cs="Arial"/>
        </w:rPr>
        <w:t>malfunction</w:t>
      </w:r>
      <w:proofErr w:type="gramEnd"/>
    </w:p>
    <w:p w14:paraId="4242ABD8" w14:textId="77777777" w:rsidR="00415313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 w:rsidRPr="002E2B6B">
        <w:rPr>
          <w:rFonts w:cs="Arial"/>
        </w:rPr>
        <w:t xml:space="preserve">Subjects who have any type of ferromagnetic bioimplant that could potentially be </w:t>
      </w:r>
      <w:proofErr w:type="gramStart"/>
      <w:r w:rsidRPr="002E2B6B">
        <w:rPr>
          <w:rFonts w:cs="Arial"/>
        </w:rPr>
        <w:t>displaced</w:t>
      </w:r>
      <w:proofErr w:type="gramEnd"/>
    </w:p>
    <w:p w14:paraId="2C67112E" w14:textId="3D17D8B7" w:rsidR="00B71E1F" w:rsidRDefault="00B71E1F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Subjects who have cerebral aneurysm clips</w:t>
      </w:r>
    </w:p>
    <w:p w14:paraId="2C9729BD" w14:textId="60386302" w:rsidR="00B71E1F" w:rsidRPr="002E2B6B" w:rsidRDefault="00B71E1F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Subjects who may have shrapnel imbedded in their bodies, metal workers and machinists</w:t>
      </w:r>
    </w:p>
    <w:p w14:paraId="048FCD4A" w14:textId="77777777" w:rsidR="00415313" w:rsidRPr="002E2B6B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 w:rsidRPr="002E2B6B">
        <w:rPr>
          <w:rFonts w:cs="Arial"/>
        </w:rPr>
        <w:t xml:space="preserve">Subjects who exhibit significant anxiety and/or claustrophobia </w:t>
      </w:r>
    </w:p>
    <w:p w14:paraId="1BC32FCE" w14:textId="77777777" w:rsidR="00415313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proofErr w:type="gramStart"/>
      <w:r w:rsidRPr="002E2B6B">
        <w:rPr>
          <w:rFonts w:cs="Arial"/>
        </w:rPr>
        <w:t>Subjects</w:t>
      </w:r>
      <w:proofErr w:type="gramEnd"/>
      <w:r w:rsidRPr="002E2B6B">
        <w:rPr>
          <w:rFonts w:cs="Arial"/>
        </w:rPr>
        <w:t xml:space="preserve"> incapable of giving assent/informed written consent</w:t>
      </w:r>
    </w:p>
    <w:p w14:paraId="2A0DB3D9" w14:textId="77777777" w:rsidR="00415313" w:rsidRDefault="00415313" w:rsidP="00415313">
      <w:pPr>
        <w:numPr>
          <w:ilvl w:val="0"/>
          <w:numId w:val="1"/>
        </w:num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 xml:space="preserve">For controls: subjects who have first degree relatives with </w:t>
      </w:r>
      <w:r w:rsidR="00A87F01">
        <w:rPr>
          <w:rFonts w:cs="Arial"/>
        </w:rPr>
        <w:t xml:space="preserve">type 1 </w:t>
      </w:r>
      <w:proofErr w:type="gramStart"/>
      <w:r w:rsidR="00A87F01">
        <w:rPr>
          <w:rFonts w:cs="Arial"/>
        </w:rPr>
        <w:t>diabetes</w:t>
      </w:r>
      <w:proofErr w:type="gramEnd"/>
    </w:p>
    <w:p w14:paraId="6AB966A5" w14:textId="77777777" w:rsidR="00415313" w:rsidRPr="002E2B6B" w:rsidRDefault="00415313" w:rsidP="00415313">
      <w:pPr>
        <w:spacing w:line="288" w:lineRule="auto"/>
        <w:ind w:left="360"/>
        <w:contextualSpacing/>
        <w:jc w:val="both"/>
        <w:rPr>
          <w:rFonts w:cs="Arial"/>
        </w:rPr>
      </w:pPr>
    </w:p>
    <w:p w14:paraId="65A3A779" w14:textId="77777777" w:rsidR="005E3254" w:rsidRDefault="00A87F01" w:rsidP="00415313">
      <w:p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P</w:t>
      </w:r>
      <w:r w:rsidR="00415313" w:rsidRPr="002E2B6B">
        <w:rPr>
          <w:rFonts w:cs="Arial"/>
        </w:rPr>
        <w:t>articipants can voluntarily remove themselves from this study at any time. This is an observational study with no known safety concerns. However, study participants will be encouraged to contact the</w:t>
      </w:r>
      <w:r w:rsidR="00415313">
        <w:rPr>
          <w:rFonts w:cs="Arial"/>
        </w:rPr>
        <w:t>ir site</w:t>
      </w:r>
      <w:r w:rsidR="00415313" w:rsidRPr="002E2B6B">
        <w:rPr>
          <w:rFonts w:cs="Arial"/>
        </w:rPr>
        <w:t xml:space="preserve"> investigator in the unlikely event that an adverse event occurs.</w:t>
      </w:r>
    </w:p>
    <w:p w14:paraId="525CBD80" w14:textId="77777777" w:rsidR="00A87F01" w:rsidRDefault="00A87F01" w:rsidP="00415313">
      <w:pPr>
        <w:spacing w:line="288" w:lineRule="auto"/>
        <w:contextualSpacing/>
        <w:jc w:val="both"/>
        <w:rPr>
          <w:rFonts w:cs="Arial"/>
        </w:rPr>
      </w:pPr>
    </w:p>
    <w:p w14:paraId="4ADEAA98" w14:textId="77777777" w:rsidR="00A87F01" w:rsidRDefault="00A87F01" w:rsidP="00415313">
      <w:pPr>
        <w:spacing w:line="288" w:lineRule="auto"/>
        <w:contextualSpacing/>
        <w:jc w:val="both"/>
        <w:rPr>
          <w:rFonts w:cs="Arial"/>
        </w:rPr>
      </w:pPr>
    </w:p>
    <w:p w14:paraId="5B4373EA" w14:textId="6819E5AA" w:rsidR="00A87F01" w:rsidRDefault="00B71E1F" w:rsidP="00415313">
      <w:p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September 7</w:t>
      </w:r>
      <w:r w:rsidR="00AF0DCB">
        <w:rPr>
          <w:rFonts w:cs="Arial"/>
        </w:rPr>
        <w:t>, 202</w:t>
      </w:r>
      <w:r>
        <w:rPr>
          <w:rFonts w:cs="Arial"/>
        </w:rPr>
        <w:t>3</w:t>
      </w:r>
    </w:p>
    <w:p w14:paraId="45C2CB06" w14:textId="77777777" w:rsidR="00A87F01" w:rsidRDefault="00A87F01" w:rsidP="00415313">
      <w:pPr>
        <w:spacing w:line="288" w:lineRule="auto"/>
        <w:contextualSpacing/>
        <w:jc w:val="both"/>
        <w:rPr>
          <w:rFonts w:cs="Arial"/>
        </w:rPr>
      </w:pPr>
    </w:p>
    <w:p w14:paraId="5CF3780D" w14:textId="77777777" w:rsidR="00A87F01" w:rsidRDefault="00A87F01" w:rsidP="00415313">
      <w:p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Jon Williams, PhD</w:t>
      </w:r>
    </w:p>
    <w:p w14:paraId="03516085" w14:textId="77777777" w:rsidR="00A87F01" w:rsidRDefault="00A87F01" w:rsidP="00415313">
      <w:p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Vanderbilt University Medical Center</w:t>
      </w:r>
    </w:p>
    <w:p w14:paraId="63F080F7" w14:textId="77777777" w:rsidR="00A87F01" w:rsidRDefault="00A87F01" w:rsidP="00415313">
      <w:p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A-3310, Medical Center North</w:t>
      </w:r>
    </w:p>
    <w:p w14:paraId="1C907BD8" w14:textId="77777777" w:rsidR="00A87F01" w:rsidRDefault="00A87F01" w:rsidP="00415313">
      <w:pPr>
        <w:spacing w:line="288" w:lineRule="auto"/>
        <w:contextualSpacing/>
        <w:jc w:val="both"/>
        <w:rPr>
          <w:rFonts w:cs="Arial"/>
        </w:rPr>
      </w:pPr>
      <w:r>
        <w:rPr>
          <w:rFonts w:cs="Arial"/>
        </w:rPr>
        <w:t>615-875-9200</w:t>
      </w:r>
    </w:p>
    <w:p w14:paraId="6DEBDE77" w14:textId="77777777" w:rsidR="00A87F01" w:rsidRDefault="00B71E1F" w:rsidP="00415313">
      <w:pPr>
        <w:spacing w:line="288" w:lineRule="auto"/>
        <w:contextualSpacing/>
        <w:jc w:val="both"/>
        <w:rPr>
          <w:rFonts w:cs="Arial"/>
        </w:rPr>
      </w:pPr>
      <w:hyperlink r:id="rId5" w:history="1">
        <w:r w:rsidR="00A87F01" w:rsidRPr="00087E2D">
          <w:rPr>
            <w:rStyle w:val="Hyperlink"/>
            <w:rFonts w:cs="Arial"/>
          </w:rPr>
          <w:t>jon.williams@vumc.org</w:t>
        </w:r>
      </w:hyperlink>
      <w:r w:rsidR="00A87F01">
        <w:rPr>
          <w:rFonts w:cs="Arial"/>
        </w:rPr>
        <w:t xml:space="preserve"> </w:t>
      </w:r>
    </w:p>
    <w:p w14:paraId="0CC262A3" w14:textId="77777777" w:rsidR="00A87F01" w:rsidRPr="00415313" w:rsidRDefault="00B71E1F" w:rsidP="00415313">
      <w:pPr>
        <w:spacing w:line="288" w:lineRule="auto"/>
        <w:contextualSpacing/>
        <w:jc w:val="both"/>
      </w:pPr>
      <w:hyperlink r:id="rId6" w:history="1">
        <w:r w:rsidR="00A87F01" w:rsidRPr="00087E2D">
          <w:rPr>
            <w:rStyle w:val="Hyperlink"/>
            <w:rFonts w:cs="Arial"/>
          </w:rPr>
          <w:t>www.map-t1d.com</w:t>
        </w:r>
      </w:hyperlink>
      <w:r w:rsidR="00A87F01">
        <w:rPr>
          <w:rFonts w:cs="Arial"/>
        </w:rPr>
        <w:t xml:space="preserve"> </w:t>
      </w:r>
    </w:p>
    <w:sectPr w:rsidR="00A87F01" w:rsidRPr="0041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D21"/>
    <w:multiLevelType w:val="hybridMultilevel"/>
    <w:tmpl w:val="F440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90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13"/>
    <w:rsid w:val="001D2B16"/>
    <w:rsid w:val="00415313"/>
    <w:rsid w:val="005E3254"/>
    <w:rsid w:val="00A87F01"/>
    <w:rsid w:val="00AF0DCB"/>
    <w:rsid w:val="00B71E1F"/>
    <w:rsid w:val="00B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8038"/>
  <w15:chartTrackingRefBased/>
  <w15:docId w15:val="{20C96972-FD53-42A5-98AE-6371D6A1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-t1d.com" TargetMode="External"/><Relationship Id="rId5" Type="http://schemas.openxmlformats.org/officeDocument/2006/relationships/hyperlink" Target="mailto:jon.williams@v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Jonathan Murphy</dc:creator>
  <cp:keywords/>
  <dc:description/>
  <cp:lastModifiedBy>Williams, Jon</cp:lastModifiedBy>
  <cp:revision>2</cp:revision>
  <dcterms:created xsi:type="dcterms:W3CDTF">2023-09-07T18:58:00Z</dcterms:created>
  <dcterms:modified xsi:type="dcterms:W3CDTF">2023-09-07T18:58:00Z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2023-09-07T18:58:56Z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aaf40670-9b7b-4161-a036-29e88a2ad1c5</vt:lpwstr>
  </property>
  <property fmtid="{D5CDD505-2E9C-101B-9397-08002B2CF9AE}" pid="8" name="MSIP_Label_792c8cef-6f2b-4af1-b4ac-d815ff795cd6_ContentBits">
    <vt:lpwstr>0</vt:lpwstr>
  </property>
</Properties>
</file>